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Quito, 10 de agosto del 2020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Señor.-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Lenín Moreno Garcés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Presidente Constitucional de la República del Ecuador</w:t>
      </w:r>
    </w:p>
    <w:p w:rsidR="00000000" w:rsidDel="00000000" w:rsidP="00000000" w:rsidRDefault="00000000" w:rsidRPr="00000000" w14:paraId="00000005">
      <w:pPr>
        <w:jc w:val="both"/>
        <w:rPr>
          <w:rFonts w:ascii="Arial-BoldMT" w:cs="Arial-BoldMT" w:eastAsia="Arial-BoldMT" w:hAnsi="Arial-BoldMT"/>
          <w:b w:val="1"/>
        </w:rPr>
      </w:pPr>
      <w:r w:rsidDel="00000000" w:rsidR="00000000" w:rsidRPr="00000000">
        <w:rPr>
          <w:b w:val="1"/>
          <w:rtl w:val="0"/>
        </w:rPr>
        <w:t xml:space="preserve">Señor.-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Yo……………………………, </w:t>
      </w:r>
      <w:r w:rsidDel="00000000" w:rsidR="00000000" w:rsidRPr="00000000">
        <w:rPr>
          <w:sz w:val="20"/>
          <w:szCs w:val="20"/>
          <w:rtl w:val="0"/>
        </w:rPr>
        <w:t xml:space="preserve">con C.I.: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..……………………………,de la ciudad de ……………………. en virtud al derecho de petición que nos asiste de acuerdo al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Art. 66 numeral 23 y Art. 18 numeral 2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 la Constitución de la República del Ecuador, que establece sin perjuicio de los derechos establecidos en la Constitución y en los instrumentos internacionales vigentes, el reconocimiento del derecho a dirigir solicitudes y peticiones respecto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las circunstancias tan delicadas producto de la presencia de la flota de buques pesquero</w:t>
      </w:r>
      <w:r w:rsidDel="00000000" w:rsidR="00000000" w:rsidRPr="00000000">
        <w:rPr>
          <w:sz w:val="20"/>
          <w:szCs w:val="20"/>
          <w:rtl w:val="0"/>
        </w:rPr>
        <w:t xml:space="preserve">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frente a la </w:t>
      </w:r>
      <w:r w:rsidDel="00000000" w:rsidR="00000000" w:rsidRPr="00000000">
        <w:rPr>
          <w:sz w:val="20"/>
          <w:szCs w:val="20"/>
          <w:rtl w:val="0"/>
        </w:rPr>
        <w:t xml:space="preserve">Z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ona </w:t>
      </w:r>
      <w:r w:rsidDel="00000000" w:rsidR="00000000" w:rsidRPr="00000000">
        <w:rPr>
          <w:sz w:val="20"/>
          <w:szCs w:val="20"/>
          <w:rtl w:val="0"/>
        </w:rPr>
        <w:t xml:space="preserve">Económica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xclusiva del Ecuador, y el derecho a acceder libremente a información pública, ante Usted comparezco y solicito lo siguiente: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través de la Organización Mundial del Comercio, </w:t>
      </w:r>
      <w:r w:rsidDel="00000000" w:rsidR="00000000" w:rsidRPr="00000000">
        <w:rPr>
          <w:sz w:val="20"/>
          <w:szCs w:val="20"/>
          <w:rtl w:val="0"/>
        </w:rPr>
        <w:t xml:space="preserve">propender 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un Acuerdo vinculante de una barrera comercial para la pesca ilegal, no declarada y no reglamentada y eliminar el subsidio y apoyo técnico a la pesca de esas flotas pesqueras que se da desde sus países.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Agilizar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el sustento técnico-científico, para lograr la ampliación de plataforma continental e insular más allá de las 200 mN, en virtud del Art. 76 de la Convemar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realicen estudios del ecosistema marino de la columna de agua que está entre las zonas económicas exclusivas del Ecuador continental y el insular para obtener datos de las especies marinas que estén bajo presión y para la preservación de otras que se encuentren protegidas o en peligro de extinción</w:t>
      </w:r>
      <w:r w:rsidDel="00000000" w:rsidR="00000000" w:rsidRPr="00000000">
        <w:rPr>
          <w:sz w:val="20"/>
          <w:szCs w:val="20"/>
          <w:rtl w:val="0"/>
        </w:rPr>
        <w:t xml:space="preserve">, ayudar así al cumplimiento de tratados internacionales y que se propenda al establecimiento de un área marina protegida en alta mar, especialmente tomando en cuenta los modelos de co-gestión ambiental del santuario Pelagos en el Mediterráneo.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la iniciativa CMAR (Corredor marino del Pacífico Este tr</w:t>
      </w:r>
      <w:r w:rsidDel="00000000" w:rsidR="00000000" w:rsidRPr="00000000">
        <w:rPr>
          <w:sz w:val="20"/>
          <w:szCs w:val="20"/>
          <w:rtl w:val="0"/>
        </w:rPr>
        <w:t xml:space="preserve">opical)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de nivel regional, sea apoyada nacionalmente y que aparte del Ministerio de Ambiente y Agua, se incluya 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la Cancillería, al Ministerio de Defensa por ser la autoridad marítima en estos casos y por el Ministerio de Comercio Exterior, Producción, Inversiones y Pesca.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Inici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de investigación sobre conservación de biodiversidad marina ante la Convemar y llegar al tribunal arbitral especial por evidencia de pesquería y afectación a la </w:t>
      </w:r>
      <w:r w:rsidDel="00000000" w:rsidR="00000000" w:rsidRPr="00000000">
        <w:rPr>
          <w:sz w:val="20"/>
          <w:szCs w:val="20"/>
          <w:rtl w:val="0"/>
        </w:rPr>
        <w:t xml:space="preserve">biodiversidad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; así como ante el Organismo Regional de Ordenamiento Pesquero del Pacífico Sur y el Centro Interamericano de Administraciones Tributarias (CIAT).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estudie y justifique de manera técnica la posibilidad de ampliar la Reserva Marina de Galápagos para que la misma, pueda ser incluida en las reformas a la Ley Orgánica de Régimen Especial de Galápagos que se tramita en la Comisión Especializada Permanente de la Biodiversidad y Recursos Naturales.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el Gobierno impulse y coordine ante la Asamblea, retomar el informe y debate respectivo sobre la propuesta de la Ley de Navegación, Gestión de Seguridad y Protección Marítima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Que se informe al país lo que la Secretaría Nacional de Planificación y Desarrollo ha realizado desde que sustituyó a la Secretaria Técnica del Mar, de acuerdo al Decreto Ejecutivo No.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923, publicado en Registro Oficial Suplemento 710 de 11 de </w:t>
      </w:r>
      <w:r w:rsidDel="00000000" w:rsidR="00000000" w:rsidRPr="00000000">
        <w:rPr>
          <w:sz w:val="20"/>
          <w:szCs w:val="20"/>
          <w:rtl w:val="0"/>
        </w:rPr>
        <w:t xml:space="preserve">Mar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zo del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Que las autoridades competentes cooperen con organizaciones conservacionistas y ambientalistas internacionales y acepten apoyo en asesoramiento y en mérito de los acuerdos internacionales que trabajen de manera conjunta con el Estado ecuatoriano para reforzar la preservación de la biodiversidad marina migratoria o no, pero de constancia en la Reserva.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Que se mantenga un apoyo técnico y científico para la toma de decisiones, en el proceso de investigación y ejecución de las comisiones designadas por el Gobierno para el tema de las flotas pesqueras, acompañadas por científicos, expertos y ONGs nacionales o regionales, y que los den a conocer públicamente.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a más de que el Ministerio del Ambiente informe la existencia y el monto de los recursos económicos destinados a la preservación de las especies marinas de Galápagos, el Ministerio de Producción, Comercio Exterior, Inversiones y Pesca lo haga en el tema de las particularidades de la pesca incidental que se está dando en el país, en perjuicio de determinadas especies como la de tiburones.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Informe del Ministerio de Defensa sobre el monto de presupuesto para la Armada Nacional en el eje de control de pesca en altamar y la ZEE.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el Gobierno Nacional cree un fondo, por fideicomiso público, para seguridad y gestión de actividades oceánicas.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la Asamblea Nacional pida cuentas a la Cancillería para que indique cómo se ha implementado la CONVEMAR en los ámbitos de investigación científica, transferencia de tecnología, pesca y la conservación de los ecosistemas, además de cómo se han implementado los Acuerdos que se han firmado en cuanto a estos temas.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Asamblea debería proponer un esquema organizacional o jurídico, para que se incorporen políticas públicas oceánicas y costeras, donde se tome en cuenta la Economía Azul y la planificación espacial marítima.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monitoreen artes de pesca utilizados por grandes barcos, abordar las embarcaciones para inspeccionar su pesca, en virtud de lo establecido en el Acuerdo de Nueva York y en el Art. 73 de la Convemar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cabildee la suscripción del Convenio de Naciones Unidas sobre biodiversidad marina más allá de las fronteras nacionales, para fines del 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permita el acceso a la información interna para el sustento técnico y científico en la recopilación, investigación y levantamiento de información que aporte al desarrollo de políticas de protección marítima.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el Ministerio de Producción, Comercio Exterior, Inversiones y Pesca junto con SENAE y Ministerio de Ambiente y Agua fortalezcan los controles y los permisos CITES con el fin de evitar el contrabando ilegal de aletas de tiburón o cualquier especie protegida o en peligro de extinción.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Respecto a las negociaciones a las que estuvo dispuesto China, donde indican que la flota hará una moratoria de pesca desde septiembre a noviembre cada año, pedimos que sea renegociado este tiempo, ya que la influencia de la corriente Humboldt llega desde meses antes a Ecuador y con ella la productividad y flujo de muchas especies marinas, entre ellas especies migratorias. Las principales especies objetivo de pesca de esta flota son calamar gigante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Dosidicus gigas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tiburón (varias especies) y atunes (varias especies). La estacionalidad pesquera alta de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Dosidicus gigas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es desde julio a octubre. La estacionalidad pesquera alta del atún difiere según la especie: atún patudo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Thunnus obesus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es de marzo a junio en el primer semestre del año y julio y octubre en el segundo semestre, de atún aleta amarilla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Thunnus albaceres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de febrero a mayo en el primer semestre y octubre y noviembre en el segundo semestre, de atún barrilete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Katsuwonus pelamis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es febrero, marzo y abril en el primer semestre y octubre y noviembre en el segundo semestre. Ni siquiera existen estos datos para especies de tiburón.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tome la iniciativa entre Presidentes de cada nación, conversar, acordar y hacer del mar un punto de encuentro por la conservación y ordenación de forma eficaz de los recursos naturales y que se acuerde eliminar el subsidio de combustible a todas las embarcaciones que den facilidades portuarias a estas embarcaciones en referencia.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solicite y aplique el Principio de Precaución establecido desde 1992 en la Declaración de Río y que fue acogido por el Estado ecuatoriano y establece que se pueden imponer medidas restrictivas sin necesidad de prueba científica, con el fin de precautelar los recursos pesqueros, la biodiversidad y el sustento de las generaciones futuras.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Nombres y Apellidos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C.I.: </w:t>
        <w:br w:type="textWrapping"/>
        <w:t xml:space="preserve">Correo electrónico:</w:t>
      </w:r>
    </w:p>
    <w:sectPr>
      <w:footerReference r:id="rId6" w:type="default"/>
      <w:footerReference r:id="rId7" w:type="even"/>
      <w:pgSz w:h="16834" w:w="11909"/>
      <w:pgMar w:bottom="399.44881889763906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-BoldMT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